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line="432" w:lineRule="auto"/>
        <w:jc w:val="both"/>
        <w:rPr>
          <w:rFonts w:hint="eastAsia" w:ascii="微软雅黑" w:hAnsi="微软雅黑" w:eastAsia="微软雅黑"/>
        </w:rPr>
      </w:pPr>
      <w:r>
        <w:rPr>
          <w:rFonts w:hint="eastAsia" w:ascii="微软雅黑" w:hAnsi="微软雅黑" w:eastAsia="微软雅黑"/>
        </w:rPr>
        <w:t>附件：</w:t>
      </w:r>
    </w:p>
    <w:p>
      <w:pPr>
        <w:jc w:val="center"/>
        <w:rPr>
          <w:rFonts w:ascii="宋体" w:hAnsi="宋体"/>
          <w:b/>
          <w:sz w:val="32"/>
          <w:szCs w:val="32"/>
        </w:rPr>
      </w:pPr>
      <w:bookmarkStart w:id="0" w:name="_GoBack"/>
      <w:r>
        <w:rPr>
          <w:rFonts w:hint="eastAsia" w:ascii="宋体" w:hAnsi="宋体"/>
          <w:b/>
          <w:sz w:val="32"/>
          <w:szCs w:val="32"/>
        </w:rPr>
        <w:t>四川网络文化研究中心课题指南</w:t>
      </w:r>
    </w:p>
    <w:bookmarkEnd w:id="0"/>
    <w:p>
      <w:pPr>
        <w:jc w:val="center"/>
        <w:rPr>
          <w:rFonts w:ascii="宋体" w:hAnsi="宋体"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b/>
          <w:sz w:val="32"/>
          <w:szCs w:val="32"/>
        </w:rPr>
        <w:t>年度网络文化与思想政治教育课题指南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1.社会重大突发事件的网络舆论引导和管理机制研究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2.网络时代增强社会主义意识形态凝聚力和引领力研究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3.中国共产党红色文化资源网络化传承利用研究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4.习近平新时代中国特色社会主义思想网络宣传教育研究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5.网络时代思想政治教育生活化实现路径研究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6.网络思想政治教育的组织实施与效果评价研究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7.优秀网络文化成果评价结构的推广运用机制研究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8.疫情防控期间高校思政课在线教学经验研究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9.疫情防控背景下基于互联网的大学生思想政治工作研究</w:t>
      </w:r>
    </w:p>
    <w:p>
      <w:pPr>
        <w:rPr>
          <w:rFonts w:hint="default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/>
          <w:sz w:val="28"/>
          <w:szCs w:val="28"/>
        </w:rPr>
        <w:t>10.新时代高校网络思想政治工作队伍建设研究</w:t>
      </w:r>
      <w:r>
        <w:rPr>
          <w:rFonts w:hint="eastAsia" w:ascii="宋体" w:hAnsi="宋体"/>
          <w:sz w:val="28"/>
          <w:szCs w:val="28"/>
          <w:lang w:val="en-US" w:eastAsia="zh-CN"/>
        </w:rPr>
        <w:t xml:space="preserve">  </w:t>
      </w:r>
    </w:p>
    <w:p>
      <w:pPr>
        <w:rPr>
          <w:rFonts w:hint="eastAsia" w:ascii="宋体" w:hAnsi="宋体"/>
          <w:sz w:val="28"/>
          <w:szCs w:val="28"/>
        </w:rPr>
      </w:pPr>
    </w:p>
    <w:p>
      <w:pPr>
        <w:rPr>
          <w:rFonts w:ascii="宋体" w:hAnsi="宋体"/>
          <w:b/>
          <w:sz w:val="32"/>
          <w:szCs w:val="32"/>
        </w:rPr>
      </w:pPr>
    </w:p>
    <w:p>
      <w:pPr>
        <w:rPr>
          <w:rFonts w:ascii="宋体" w:hAnsi="宋体"/>
          <w:b/>
          <w:sz w:val="32"/>
          <w:szCs w:val="32"/>
        </w:rPr>
      </w:pPr>
    </w:p>
    <w:p>
      <w:pPr>
        <w:tabs>
          <w:tab w:val="left" w:pos="7626"/>
        </w:tabs>
        <w:rPr>
          <w:rFonts w:hint="eastAsia" w:ascii="宋体" w:hAnsi="宋体"/>
          <w:b/>
          <w:sz w:val="32"/>
          <w:szCs w:val="32"/>
          <w:lang w:eastAsia="zh-CN"/>
        </w:rPr>
      </w:pPr>
      <w:r>
        <w:rPr>
          <w:rFonts w:hint="eastAsia" w:ascii="宋体" w:hAnsi="宋体"/>
          <w:b/>
          <w:sz w:val="32"/>
          <w:szCs w:val="32"/>
          <w:lang w:eastAsia="zh-CN"/>
        </w:rPr>
        <w:tab/>
      </w:r>
    </w:p>
    <w:p>
      <w:pPr>
        <w:tabs>
          <w:tab w:val="left" w:pos="7626"/>
        </w:tabs>
        <w:rPr>
          <w:rFonts w:hint="eastAsia" w:ascii="宋体" w:hAnsi="宋体"/>
          <w:b/>
          <w:sz w:val="32"/>
          <w:szCs w:val="32"/>
          <w:lang w:eastAsia="zh-CN"/>
        </w:rPr>
      </w:pPr>
    </w:p>
    <w:p>
      <w:pPr>
        <w:tabs>
          <w:tab w:val="left" w:pos="7626"/>
        </w:tabs>
        <w:rPr>
          <w:rFonts w:hint="eastAsia" w:ascii="宋体" w:hAnsi="宋体"/>
          <w:b/>
          <w:sz w:val="32"/>
          <w:szCs w:val="32"/>
          <w:lang w:eastAsia="zh-CN"/>
        </w:rPr>
      </w:pPr>
    </w:p>
    <w:p>
      <w:pPr>
        <w:tabs>
          <w:tab w:val="left" w:pos="7626"/>
        </w:tabs>
        <w:rPr>
          <w:rFonts w:hint="eastAsia" w:ascii="宋体" w:hAnsi="宋体"/>
          <w:b/>
          <w:sz w:val="32"/>
          <w:szCs w:val="32"/>
          <w:lang w:eastAsia="zh-CN"/>
        </w:rPr>
      </w:pPr>
    </w:p>
    <w:p>
      <w:pPr>
        <w:tabs>
          <w:tab w:val="left" w:pos="7626"/>
        </w:tabs>
        <w:rPr>
          <w:rFonts w:hint="eastAsia" w:ascii="宋体" w:hAnsi="宋体"/>
          <w:b/>
          <w:sz w:val="32"/>
          <w:szCs w:val="32"/>
          <w:lang w:eastAsia="zh-CN"/>
        </w:rPr>
      </w:pPr>
    </w:p>
    <w:p>
      <w:pPr>
        <w:tabs>
          <w:tab w:val="left" w:pos="7626"/>
        </w:tabs>
        <w:rPr>
          <w:rFonts w:hint="eastAsia" w:ascii="宋体" w:hAnsi="宋体"/>
          <w:b/>
          <w:sz w:val="32"/>
          <w:szCs w:val="32"/>
          <w:lang w:eastAsia="zh-CN"/>
        </w:rPr>
      </w:pP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四川网络文化研究中心</w:t>
      </w:r>
    </w:p>
    <w:p>
      <w:pPr>
        <w:jc w:val="center"/>
        <w:rPr>
          <w:rFonts w:ascii="宋体" w:hAnsi="宋体"/>
          <w:b/>
          <w:sz w:val="32"/>
          <w:szCs w:val="32"/>
        </w:rPr>
      </w:pPr>
      <w:r>
        <w:rPr>
          <w:rFonts w:hint="eastAsia" w:ascii="宋体" w:hAnsi="宋体"/>
          <w:b/>
          <w:sz w:val="32"/>
          <w:szCs w:val="32"/>
        </w:rPr>
        <w:t>202</w:t>
      </w:r>
      <w:r>
        <w:rPr>
          <w:rFonts w:hint="eastAsia" w:ascii="宋体" w:hAnsi="宋体"/>
          <w:b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b/>
          <w:sz w:val="32"/>
          <w:szCs w:val="32"/>
        </w:rPr>
        <w:t>年度网络传播与监管课题指南</w:t>
      </w:r>
    </w:p>
    <w:p>
      <w:pPr>
        <w:rPr>
          <w:rFonts w:ascii="宋体" w:hAnsi="宋体"/>
          <w:sz w:val="30"/>
          <w:szCs w:val="30"/>
        </w:rPr>
      </w:pP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1.新冠肺炎疫情下信息安全风险评估研究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2.新冠肺炎疫情下防控信息传播与监管机制研究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3.新冠肺炎疫情下网络舆论特点及引导策略研究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4.区块链环境下网络舆情传播模型研究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5.区块链环境下突发公共事件传播机制研究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6.区块链环境下网络社会治理机制研究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7.区块链环境下信息传播与监管研究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8.基于多特征融合的网络媒体综合检索及应用研究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9.互联网融合媒体新闻推送及应用研究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10.互联网融合媒体特征自动提取与识别及应用研究</w:t>
      </w: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jc w:val="center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四川网络文化研究中心</w:t>
      </w:r>
    </w:p>
    <w:p>
      <w:pPr>
        <w:jc w:val="center"/>
        <w:rPr>
          <w:rFonts w:ascii="宋体" w:hAnsi="宋体"/>
          <w:b/>
          <w:color w:val="auto"/>
          <w:sz w:val="32"/>
          <w:szCs w:val="32"/>
        </w:rPr>
      </w:pPr>
      <w:r>
        <w:rPr>
          <w:rFonts w:hint="eastAsia" w:ascii="宋体" w:hAnsi="宋体"/>
          <w:b/>
          <w:color w:val="auto"/>
          <w:sz w:val="32"/>
          <w:szCs w:val="32"/>
        </w:rPr>
        <w:t>202</w:t>
      </w:r>
      <w:r>
        <w:rPr>
          <w:rFonts w:hint="eastAsia" w:ascii="宋体" w:hAnsi="宋体"/>
          <w:b/>
          <w:color w:val="auto"/>
          <w:sz w:val="32"/>
          <w:szCs w:val="32"/>
          <w:lang w:val="en-US" w:eastAsia="zh-CN"/>
        </w:rPr>
        <w:t>1</w:t>
      </w:r>
      <w:r>
        <w:rPr>
          <w:rFonts w:hint="eastAsia" w:ascii="宋体" w:hAnsi="宋体"/>
          <w:b/>
          <w:color w:val="auto"/>
          <w:sz w:val="32"/>
          <w:szCs w:val="32"/>
        </w:rPr>
        <w:t>年度网络语言与网络文学课题指南</w:t>
      </w:r>
    </w:p>
    <w:p>
      <w:pPr>
        <w:jc w:val="center"/>
        <w:rPr>
          <w:rFonts w:ascii="宋体" w:hAnsi="宋体"/>
          <w:b/>
          <w:color w:val="auto"/>
          <w:sz w:val="32"/>
          <w:szCs w:val="32"/>
        </w:rPr>
      </w:pP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网络语言部分：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1．浅议2020年网络流行语</w:t>
      </w:r>
    </w:p>
    <w:p>
      <w:pPr>
        <w:rPr>
          <w:rFonts w:hint="eastAsia"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2．试论弹幕语言对网络剧的影响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3．从弹幕互动看青年亚文化的重构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4．汉语网络流行语英译问题研究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5．微信公众号文本写作语言特点探析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6．奇葩说节目中×××（脱口秀选手，比如傅首尔、李诞等）的语言特色分析</w:t>
      </w:r>
    </w:p>
    <w:p>
      <w:pPr>
        <w:rPr>
          <w:rFonts w:ascii="宋体" w:hAnsi="宋体"/>
          <w:color w:val="auto"/>
          <w:sz w:val="28"/>
          <w:szCs w:val="28"/>
        </w:rPr>
      </w:pP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网络文学部分：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1.网络文学纸质出版应对抄袭现象的处理策略探析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2.人工智能文学作品的著作权归属探析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3.“融梗出精品”问题解析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4.中国网络文学海外传播的路径研究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5.从玄幻到现实是网络作家写作自觉还是跟风所为</w:t>
      </w:r>
    </w:p>
    <w:p>
      <w:pPr>
        <w:rPr>
          <w:rFonts w:ascii="宋体" w:hAnsi="宋体"/>
          <w:color w:val="auto"/>
          <w:sz w:val="28"/>
          <w:szCs w:val="28"/>
        </w:rPr>
      </w:pPr>
      <w:r>
        <w:rPr>
          <w:rFonts w:hint="eastAsia" w:ascii="宋体" w:hAnsi="宋体"/>
          <w:color w:val="auto"/>
          <w:sz w:val="28"/>
          <w:szCs w:val="28"/>
        </w:rPr>
        <w:t>6.网络文学主流化辨析</w:t>
      </w:r>
    </w:p>
    <w:p>
      <w:pPr>
        <w:rPr>
          <w:rFonts w:ascii="宋体" w:hAnsi="宋体"/>
          <w:color w:val="auto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rPr>
          <w:rFonts w:ascii="宋体" w:hAnsi="宋体"/>
          <w:sz w:val="28"/>
          <w:szCs w:val="28"/>
        </w:rPr>
      </w:pP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四川网络文化研究中心</w:t>
      </w:r>
    </w:p>
    <w:p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202</w:t>
      </w:r>
      <w:r>
        <w:rPr>
          <w:rFonts w:hint="eastAsia"/>
          <w:b/>
          <w:bCs/>
          <w:sz w:val="32"/>
          <w:szCs w:val="32"/>
          <w:lang w:val="en-US" w:eastAsia="zh-CN"/>
        </w:rPr>
        <w:t>1</w:t>
      </w:r>
      <w:r>
        <w:rPr>
          <w:rFonts w:hint="eastAsia"/>
          <w:b/>
          <w:bCs/>
          <w:sz w:val="32"/>
          <w:szCs w:val="32"/>
        </w:rPr>
        <w:t>年度网络文化产业课题指南</w:t>
      </w:r>
    </w:p>
    <w:p>
      <w:pPr>
        <w:rPr>
          <w:rFonts w:ascii="宋体" w:hAnsi="宋体"/>
          <w:sz w:val="28"/>
          <w:szCs w:val="28"/>
        </w:rPr>
      </w:pP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新冠肺炎疫情与网络购物研究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新冠肺炎疫情与在线教育研究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网络文化产业结构现状及对策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网络视听产业运营与管理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互联网与文旅融合产业发展</w:t>
      </w:r>
    </w:p>
    <w:p>
      <w:pPr>
        <w:numPr>
          <w:ilvl w:val="0"/>
          <w:numId w:val="1"/>
        </w:numPr>
        <w:rPr>
          <w:sz w:val="28"/>
          <w:szCs w:val="28"/>
        </w:rPr>
      </w:pPr>
      <w:r>
        <w:rPr>
          <w:rFonts w:hint="eastAsia"/>
          <w:sz w:val="28"/>
          <w:szCs w:val="28"/>
        </w:rPr>
        <w:t>互联网与国产动漫产品开发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7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互联网与民族文化I</w:t>
      </w:r>
      <w:r>
        <w:rPr>
          <w:sz w:val="28"/>
          <w:szCs w:val="28"/>
        </w:rPr>
        <w:t>P</w:t>
      </w:r>
      <w:r>
        <w:rPr>
          <w:rFonts w:hint="eastAsia"/>
          <w:sz w:val="28"/>
          <w:szCs w:val="28"/>
        </w:rPr>
        <w:t>打造</w:t>
      </w:r>
    </w:p>
    <w:p>
      <w:pPr>
        <w:rPr>
          <w:sz w:val="28"/>
          <w:szCs w:val="28"/>
        </w:rPr>
      </w:pPr>
      <w:r>
        <w:rPr>
          <w:sz w:val="28"/>
          <w:szCs w:val="28"/>
        </w:rPr>
        <w:t>8</w:t>
      </w:r>
      <w:r>
        <w:rPr>
          <w:rFonts w:hint="eastAsia"/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少数民族网络文化产业典型个案研究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9.</w:t>
      </w:r>
      <w:r>
        <w:rPr>
          <w:sz w:val="28"/>
          <w:szCs w:val="28"/>
        </w:rPr>
        <w:t xml:space="preserve"> </w:t>
      </w:r>
      <w:r>
        <w:rPr>
          <w:rFonts w:hint="eastAsia"/>
          <w:sz w:val="28"/>
          <w:szCs w:val="28"/>
        </w:rPr>
        <w:t>微商群体与女性再就业研究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10.网络主播信用评价研究</w:t>
      </w:r>
    </w:p>
    <w:p>
      <w:pPr>
        <w:rPr>
          <w:sz w:val="28"/>
          <w:szCs w:val="28"/>
        </w:rPr>
      </w:pPr>
    </w:p>
    <w:p>
      <w:pPr>
        <w:rPr>
          <w:rFonts w:ascii="宋体" w:hAnsi="宋体"/>
          <w:color w:val="000000"/>
          <w:sz w:val="30"/>
          <w:szCs w:val="30"/>
        </w:rPr>
      </w:pPr>
    </w:p>
    <w:p>
      <w:pPr>
        <w:rPr>
          <w:szCs w:val="30"/>
        </w:rPr>
      </w:pPr>
    </w:p>
    <w:p/>
    <w:p/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separate"/>
    </w:r>
    <w:r>
      <w:rPr>
        <w:rStyle w:val="6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B360776"/>
    <w:multiLevelType w:val="singleLevel"/>
    <w:tmpl w:val="DB36077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D72F9"/>
    <w:rsid w:val="70BD7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6">
    <w:name w:val="page number"/>
    <w:basedOn w:val="5"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2021-03-22T01:51:00Z</dcterms:created>
  <dc:creator>V</dc:creator>
  <cp:lastModifiedBy>V</cp:lastModifiedBy>
  <dcterms:modified xsi:type="dcterms:W3CDTF">2021-03-22T01:52:13Z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